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5D" w:rsidRPr="004E1F5D" w:rsidRDefault="004E1F5D">
      <w:pPr>
        <w:rPr>
          <w:b/>
          <w:sz w:val="16"/>
          <w:szCs w:val="16"/>
        </w:rPr>
      </w:pPr>
    </w:p>
    <w:p w:rsidR="005450E6" w:rsidRPr="00E2718F" w:rsidRDefault="00E2718F">
      <w:pPr>
        <w:rPr>
          <w:b/>
          <w:sz w:val="32"/>
          <w:szCs w:val="32"/>
        </w:rPr>
      </w:pPr>
      <w:r w:rsidRPr="00E2718F">
        <w:rPr>
          <w:b/>
          <w:sz w:val="32"/>
          <w:szCs w:val="32"/>
        </w:rPr>
        <w:t>Awesome Openings – AKA “Hooks”</w:t>
      </w:r>
    </w:p>
    <w:p w:rsidR="00E2718F" w:rsidRPr="00E2718F" w:rsidRDefault="00E2718F" w:rsidP="00E2718F">
      <w:pPr>
        <w:pStyle w:val="NoSpacing"/>
        <w:rPr>
          <w:sz w:val="28"/>
          <w:szCs w:val="28"/>
          <w:lang w:val="en"/>
        </w:rPr>
      </w:pPr>
      <w:r w:rsidRPr="00E2718F">
        <w:rPr>
          <w:sz w:val="28"/>
          <w:szCs w:val="28"/>
          <w:lang w:val="en"/>
        </w:rPr>
        <w:t>The Elements of a Strong Hook:</w:t>
      </w:r>
    </w:p>
    <w:p w:rsidR="00E2718F" w:rsidRPr="00E2718F" w:rsidRDefault="00E2718F" w:rsidP="00E2718F">
      <w:pPr>
        <w:pStyle w:val="NoSpacing"/>
        <w:numPr>
          <w:ilvl w:val="0"/>
          <w:numId w:val="3"/>
        </w:numPr>
        <w:rPr>
          <w:lang w:val="en"/>
        </w:rPr>
      </w:pPr>
      <w:r w:rsidRPr="00E2718F">
        <w:rPr>
          <w:lang w:val="en"/>
        </w:rPr>
        <w:t xml:space="preserve">Explains </w:t>
      </w:r>
      <w:r w:rsidRPr="00E2718F">
        <w:rPr>
          <w:b/>
          <w:bCs/>
          <w:lang w:val="en"/>
        </w:rPr>
        <w:t xml:space="preserve">what </w:t>
      </w:r>
      <w:r w:rsidRPr="00E2718F">
        <w:rPr>
          <w:lang w:val="en"/>
        </w:rPr>
        <w:t>students are about to learn.</w:t>
      </w:r>
    </w:p>
    <w:p w:rsidR="00E2718F" w:rsidRPr="00E2718F" w:rsidRDefault="00E2718F" w:rsidP="00E2718F">
      <w:pPr>
        <w:pStyle w:val="NoSpacing"/>
        <w:numPr>
          <w:ilvl w:val="0"/>
          <w:numId w:val="3"/>
        </w:numPr>
        <w:rPr>
          <w:lang w:val="en"/>
        </w:rPr>
      </w:pPr>
      <w:r w:rsidRPr="00E2718F">
        <w:rPr>
          <w:lang w:val="en"/>
        </w:rPr>
        <w:t xml:space="preserve">Explains </w:t>
      </w:r>
      <w:r w:rsidRPr="00E2718F">
        <w:rPr>
          <w:b/>
          <w:bCs/>
          <w:lang w:val="en"/>
        </w:rPr>
        <w:t xml:space="preserve">why </w:t>
      </w:r>
      <w:r w:rsidRPr="00E2718F">
        <w:rPr>
          <w:lang w:val="en"/>
        </w:rPr>
        <w:t>what they are about to learn is important.</w:t>
      </w:r>
    </w:p>
    <w:p w:rsidR="00E2718F" w:rsidRPr="00E2718F" w:rsidRDefault="00E2718F" w:rsidP="00E2718F">
      <w:pPr>
        <w:pStyle w:val="NoSpacing"/>
        <w:numPr>
          <w:ilvl w:val="0"/>
          <w:numId w:val="3"/>
        </w:numPr>
        <w:rPr>
          <w:lang w:val="en"/>
        </w:rPr>
      </w:pPr>
      <w:r w:rsidRPr="00E2718F">
        <w:rPr>
          <w:b/>
          <w:bCs/>
          <w:lang w:val="en"/>
        </w:rPr>
        <w:t>Connects</w:t>
      </w:r>
      <w:r w:rsidRPr="00E2718F">
        <w:rPr>
          <w:lang w:val="en"/>
        </w:rPr>
        <w:t xml:space="preserve"> what they are about to learn to what they already know</w:t>
      </w:r>
    </w:p>
    <w:p w:rsidR="00E2718F" w:rsidRPr="00E2718F" w:rsidRDefault="00E2718F" w:rsidP="00E2718F">
      <w:pPr>
        <w:pStyle w:val="NoSpacing"/>
        <w:numPr>
          <w:ilvl w:val="0"/>
          <w:numId w:val="3"/>
        </w:numPr>
        <w:rPr>
          <w:lang w:val="en"/>
        </w:rPr>
      </w:pPr>
      <w:r w:rsidRPr="00E2718F">
        <w:rPr>
          <w:lang w:val="en"/>
        </w:rPr>
        <w:t xml:space="preserve">Explains </w:t>
      </w:r>
      <w:r w:rsidRPr="00E2718F">
        <w:rPr>
          <w:b/>
          <w:bCs/>
          <w:lang w:val="en"/>
        </w:rPr>
        <w:t>how</w:t>
      </w:r>
      <w:r w:rsidRPr="00E2718F">
        <w:rPr>
          <w:lang w:val="en"/>
        </w:rPr>
        <w:t xml:space="preserve"> the learning will take place (the day’s agenda).</w:t>
      </w:r>
    </w:p>
    <w:p w:rsidR="00E2718F" w:rsidRDefault="00E2718F" w:rsidP="00E2718F">
      <w:pPr>
        <w:pStyle w:val="NoSpacing"/>
        <w:numPr>
          <w:ilvl w:val="0"/>
          <w:numId w:val="3"/>
        </w:numPr>
        <w:rPr>
          <w:lang w:val="en"/>
        </w:rPr>
      </w:pPr>
      <w:r w:rsidRPr="00E2718F">
        <w:rPr>
          <w:b/>
          <w:bCs/>
          <w:lang w:val="en"/>
        </w:rPr>
        <w:t>Captures</w:t>
      </w:r>
      <w:r w:rsidRPr="00E2718F">
        <w:rPr>
          <w:lang w:val="en"/>
        </w:rPr>
        <w:t xml:space="preserve"> </w:t>
      </w:r>
      <w:r w:rsidR="004E1F5D" w:rsidRPr="00E2718F">
        <w:rPr>
          <w:lang w:val="en"/>
        </w:rPr>
        <w:t>students’</w:t>
      </w:r>
      <w:r w:rsidRPr="00E2718F">
        <w:rPr>
          <w:lang w:val="en"/>
        </w:rPr>
        <w:t xml:space="preserve"> interest.</w:t>
      </w:r>
    </w:p>
    <w:p w:rsidR="00E2718F" w:rsidRPr="00E2718F" w:rsidRDefault="00E2718F" w:rsidP="00E2718F">
      <w:pPr>
        <w:pStyle w:val="NoSpacing"/>
        <w:ind w:firstLine="360"/>
        <w:rPr>
          <w:sz w:val="20"/>
          <w:szCs w:val="20"/>
          <w:lang w:val="en"/>
        </w:rPr>
      </w:pPr>
      <w:r w:rsidRPr="00E2718F">
        <w:rPr>
          <w:rFonts w:cstheme="minorHAnsi"/>
          <w:sz w:val="20"/>
          <w:szCs w:val="20"/>
          <w:lang w:val="en"/>
        </w:rPr>
        <w:t xml:space="preserve">From </w:t>
      </w:r>
      <w:hyperlink r:id="rId7" w:history="1">
        <w:r w:rsidRPr="00E2718F">
          <w:rPr>
            <w:rStyle w:val="Hyperlink"/>
            <w:rFonts w:cstheme="minorHAnsi"/>
            <w:sz w:val="20"/>
            <w:szCs w:val="20"/>
            <w:lang w:val="en"/>
          </w:rPr>
          <w:t>https://theonlinepd.wordpress.com/p-3-lesson-planning/creating-a-strong-hook/</w:t>
        </w:r>
      </w:hyperlink>
      <w:r w:rsidRPr="00E2718F">
        <w:rPr>
          <w:rFonts w:cstheme="minorHAnsi"/>
          <w:sz w:val="20"/>
          <w:szCs w:val="20"/>
          <w:lang w:val="en"/>
        </w:rPr>
        <w:t xml:space="preserve"> </w:t>
      </w:r>
    </w:p>
    <w:p w:rsidR="00E2718F" w:rsidRDefault="00E2718F" w:rsidP="00E2718F">
      <w:pPr>
        <w:pStyle w:val="NoSpacing"/>
        <w:rPr>
          <w:rFonts w:cstheme="minorHAnsi"/>
        </w:rPr>
      </w:pPr>
      <w:bookmarkStart w:id="0" w:name="_GoBack"/>
      <w:bookmarkEnd w:id="0"/>
    </w:p>
    <w:p w:rsidR="00E2718F" w:rsidRPr="00E2718F" w:rsidRDefault="00E2718F" w:rsidP="00E2718F">
      <w:pPr>
        <w:pStyle w:val="NoSpacing"/>
        <w:rPr>
          <w:sz w:val="28"/>
          <w:szCs w:val="28"/>
        </w:rPr>
      </w:pPr>
      <w:r w:rsidRPr="00E2718F">
        <w:rPr>
          <w:sz w:val="28"/>
          <w:szCs w:val="28"/>
        </w:rPr>
        <w:t>My Favorite Hooks:</w:t>
      </w:r>
    </w:p>
    <w:p w:rsidR="00E2718F" w:rsidRPr="00E2718F" w:rsidRDefault="00E2718F" w:rsidP="00E2718F">
      <w:pPr>
        <w:pStyle w:val="NoSpacing"/>
        <w:numPr>
          <w:ilvl w:val="0"/>
          <w:numId w:val="4"/>
        </w:numPr>
      </w:pPr>
      <w:r w:rsidRPr="00E2718F">
        <w:t>Taste tests</w:t>
      </w:r>
    </w:p>
    <w:p w:rsidR="00E2718F" w:rsidRPr="00E2718F" w:rsidRDefault="00E2718F" w:rsidP="00E2718F">
      <w:pPr>
        <w:pStyle w:val="NoSpacing"/>
        <w:numPr>
          <w:ilvl w:val="0"/>
          <w:numId w:val="4"/>
        </w:numPr>
      </w:pPr>
      <w:r w:rsidRPr="00E2718F">
        <w:t>Costumes and props</w:t>
      </w:r>
    </w:p>
    <w:p w:rsidR="00E2718F" w:rsidRPr="00E2718F" w:rsidRDefault="00E2718F" w:rsidP="00E2718F">
      <w:pPr>
        <w:pStyle w:val="NoSpacing"/>
        <w:numPr>
          <w:ilvl w:val="0"/>
          <w:numId w:val="4"/>
        </w:numPr>
      </w:pPr>
      <w:r w:rsidRPr="00E2718F">
        <w:t>Music</w:t>
      </w:r>
    </w:p>
    <w:p w:rsidR="00E2718F" w:rsidRPr="00E2718F" w:rsidRDefault="00E2718F" w:rsidP="00E2718F">
      <w:pPr>
        <w:pStyle w:val="NoSpacing"/>
        <w:numPr>
          <w:ilvl w:val="0"/>
          <w:numId w:val="4"/>
        </w:numPr>
      </w:pPr>
      <w:r w:rsidRPr="00E2718F">
        <w:t>Unveiling a theme</w:t>
      </w:r>
    </w:p>
    <w:p w:rsidR="00E2718F" w:rsidRDefault="00E2718F" w:rsidP="00E2718F">
      <w:pPr>
        <w:pStyle w:val="NoSpacing"/>
      </w:pPr>
    </w:p>
    <w:p w:rsidR="00E2718F" w:rsidRPr="00E2718F" w:rsidRDefault="00E2718F" w:rsidP="00E2718F">
      <w:pPr>
        <w:pStyle w:val="NoSpacing"/>
        <w:rPr>
          <w:b/>
          <w:sz w:val="32"/>
          <w:szCs w:val="32"/>
        </w:rPr>
      </w:pPr>
      <w:r w:rsidRPr="00E2718F">
        <w:rPr>
          <w:b/>
          <w:sz w:val="32"/>
          <w:szCs w:val="32"/>
        </w:rPr>
        <w:t>Outstanding Endings – AKA “Closures”</w:t>
      </w:r>
    </w:p>
    <w:p w:rsidR="00E2718F" w:rsidRDefault="00E2718F" w:rsidP="00E2718F">
      <w:pPr>
        <w:pStyle w:val="NoSpacing"/>
        <w:rPr>
          <w:rFonts w:eastAsia="Times New Roman"/>
          <w:color w:val="000000"/>
          <w:lang w:val="en"/>
        </w:rPr>
      </w:pPr>
    </w:p>
    <w:p w:rsidR="00E2718F" w:rsidRPr="00E2718F" w:rsidRDefault="00E2718F" w:rsidP="00E2718F">
      <w:pPr>
        <w:pStyle w:val="NoSpacing"/>
        <w:rPr>
          <w:rFonts w:eastAsia="Times New Roman"/>
          <w:color w:val="000000"/>
          <w:sz w:val="28"/>
          <w:szCs w:val="28"/>
          <w:lang w:val="en"/>
        </w:rPr>
      </w:pPr>
      <w:r w:rsidRPr="00E2718F">
        <w:rPr>
          <w:rFonts w:eastAsia="Times New Roman"/>
          <w:color w:val="000000"/>
          <w:sz w:val="28"/>
          <w:szCs w:val="28"/>
          <w:lang w:val="en"/>
        </w:rPr>
        <w:t>Teachers use closure to:</w:t>
      </w:r>
    </w:p>
    <w:p w:rsidR="00E2718F" w:rsidRPr="00E2718F" w:rsidRDefault="00E2718F" w:rsidP="00E2718F">
      <w:pPr>
        <w:pStyle w:val="NoSpacing"/>
        <w:numPr>
          <w:ilvl w:val="0"/>
          <w:numId w:val="5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Check for understanding and inform subsequent instruction</w:t>
      </w:r>
    </w:p>
    <w:p w:rsidR="00E2718F" w:rsidRPr="00E2718F" w:rsidRDefault="00E2718F" w:rsidP="00E2718F">
      <w:pPr>
        <w:pStyle w:val="NoSpacing"/>
        <w:numPr>
          <w:ilvl w:val="0"/>
          <w:numId w:val="5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Emphasize key information</w:t>
      </w:r>
    </w:p>
    <w:p w:rsidR="00E2718F" w:rsidRPr="00E2718F" w:rsidRDefault="00E2718F" w:rsidP="00E2718F">
      <w:pPr>
        <w:pStyle w:val="NoSpacing"/>
        <w:numPr>
          <w:ilvl w:val="0"/>
          <w:numId w:val="5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Tie up loose ends</w:t>
      </w:r>
    </w:p>
    <w:p w:rsidR="00E2718F" w:rsidRPr="00E2718F" w:rsidRDefault="00E2718F" w:rsidP="00E2718F">
      <w:pPr>
        <w:pStyle w:val="NoSpacing"/>
        <w:numPr>
          <w:ilvl w:val="0"/>
          <w:numId w:val="5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Correct misunderstandings</w:t>
      </w:r>
    </w:p>
    <w:p w:rsidR="00E2718F" w:rsidRPr="00E2718F" w:rsidRDefault="00E2718F" w:rsidP="00E2718F">
      <w:pPr>
        <w:pStyle w:val="NoSpacing"/>
        <w:rPr>
          <w:rFonts w:eastAsia="Times New Roman"/>
          <w:color w:val="000000"/>
          <w:sz w:val="28"/>
          <w:szCs w:val="28"/>
          <w:lang w:val="en"/>
        </w:rPr>
      </w:pPr>
      <w:r w:rsidRPr="00E2718F">
        <w:rPr>
          <w:rFonts w:eastAsia="Times New Roman"/>
          <w:color w:val="000000"/>
          <w:sz w:val="28"/>
          <w:szCs w:val="28"/>
          <w:lang w:val="en"/>
        </w:rPr>
        <w:t>Students find closure helpful for:</w:t>
      </w:r>
    </w:p>
    <w:p w:rsidR="00E2718F" w:rsidRPr="00E2718F" w:rsidRDefault="00E2718F" w:rsidP="00E2718F">
      <w:pPr>
        <w:pStyle w:val="NoSpacing"/>
        <w:numPr>
          <w:ilvl w:val="0"/>
          <w:numId w:val="6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Summarizing, reviewing, and demonstrating their understanding of major points</w:t>
      </w:r>
    </w:p>
    <w:p w:rsidR="00E2718F" w:rsidRPr="00E2718F" w:rsidRDefault="00E2718F" w:rsidP="00E2718F">
      <w:pPr>
        <w:pStyle w:val="NoSpacing"/>
        <w:numPr>
          <w:ilvl w:val="0"/>
          <w:numId w:val="6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Consolidating and internalizing key information</w:t>
      </w:r>
    </w:p>
    <w:p w:rsidR="00E2718F" w:rsidRPr="00E2718F" w:rsidRDefault="00E2718F" w:rsidP="00E2718F">
      <w:pPr>
        <w:pStyle w:val="NoSpacing"/>
        <w:numPr>
          <w:ilvl w:val="0"/>
          <w:numId w:val="6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Linking lesson ideas to a conceptual framework and/or previously-learned knowledge</w:t>
      </w:r>
    </w:p>
    <w:p w:rsidR="00E2718F" w:rsidRPr="00E2718F" w:rsidRDefault="00E2718F" w:rsidP="00E2718F">
      <w:pPr>
        <w:pStyle w:val="NoSpacing"/>
        <w:numPr>
          <w:ilvl w:val="0"/>
          <w:numId w:val="6"/>
        </w:numPr>
        <w:rPr>
          <w:rFonts w:eastAsia="Times New Roman"/>
          <w:color w:val="000000"/>
          <w:lang w:val="en"/>
        </w:rPr>
      </w:pPr>
      <w:r w:rsidRPr="00E2718F">
        <w:rPr>
          <w:rFonts w:eastAsia="Times New Roman"/>
          <w:color w:val="000000"/>
          <w:lang w:val="en"/>
        </w:rPr>
        <w:t>Transferring ideas to new situations</w:t>
      </w:r>
    </w:p>
    <w:p w:rsidR="00E2718F" w:rsidRPr="00E2718F" w:rsidRDefault="00E2718F" w:rsidP="00E2718F">
      <w:pPr>
        <w:pStyle w:val="NoSpacing"/>
        <w:ind w:firstLine="360"/>
        <w:rPr>
          <w:rFonts w:eastAsia="Times New Roman"/>
          <w:color w:val="000000"/>
          <w:sz w:val="20"/>
          <w:szCs w:val="20"/>
          <w:lang w:val="en"/>
        </w:rPr>
      </w:pPr>
      <w:r w:rsidRPr="00E2718F">
        <w:rPr>
          <w:rFonts w:eastAsia="Times New Roman"/>
          <w:color w:val="000000"/>
          <w:sz w:val="20"/>
          <w:szCs w:val="20"/>
          <w:lang w:val="en"/>
        </w:rPr>
        <w:t xml:space="preserve">From </w:t>
      </w:r>
      <w:hyperlink r:id="rId8" w:history="1">
        <w:r w:rsidRPr="00E2718F">
          <w:rPr>
            <w:rStyle w:val="Hyperlink"/>
            <w:rFonts w:eastAsia="Times New Roman" w:cstheme="minorHAnsi"/>
            <w:sz w:val="20"/>
            <w:szCs w:val="20"/>
            <w:lang w:val="en"/>
          </w:rPr>
          <w:t>http://www.edutopia.org/blog/22-powerful-closure-activities-todd-finley</w:t>
        </w:r>
      </w:hyperlink>
      <w:r w:rsidRPr="00E2718F">
        <w:rPr>
          <w:rFonts w:eastAsia="Times New Roman"/>
          <w:color w:val="000000"/>
          <w:sz w:val="20"/>
          <w:szCs w:val="20"/>
          <w:lang w:val="en"/>
        </w:rPr>
        <w:t xml:space="preserve"> </w:t>
      </w:r>
    </w:p>
    <w:p w:rsidR="00E2718F" w:rsidRDefault="00E2718F" w:rsidP="00E2718F">
      <w:pPr>
        <w:pStyle w:val="NoSpacing"/>
      </w:pPr>
    </w:p>
    <w:p w:rsidR="00E2718F" w:rsidRPr="00E2718F" w:rsidRDefault="00E2718F" w:rsidP="00E2718F">
      <w:pPr>
        <w:pStyle w:val="NoSpacing"/>
        <w:rPr>
          <w:sz w:val="28"/>
          <w:szCs w:val="28"/>
        </w:rPr>
      </w:pPr>
      <w:r w:rsidRPr="00E2718F">
        <w:rPr>
          <w:sz w:val="28"/>
          <w:szCs w:val="28"/>
        </w:rPr>
        <w:t>My favorite closures:</w:t>
      </w:r>
    </w:p>
    <w:p w:rsidR="00E2718F" w:rsidRPr="00E2718F" w:rsidRDefault="00E2718F" w:rsidP="00E2718F">
      <w:pPr>
        <w:pStyle w:val="NoSpacing"/>
        <w:numPr>
          <w:ilvl w:val="0"/>
          <w:numId w:val="7"/>
        </w:numPr>
      </w:pPr>
      <w:r w:rsidRPr="00E2718F">
        <w:t>Ticket out the door</w:t>
      </w:r>
    </w:p>
    <w:p w:rsidR="00E2718F" w:rsidRPr="00E2718F" w:rsidRDefault="00E2718F" w:rsidP="00E2718F">
      <w:pPr>
        <w:pStyle w:val="NoSpacing"/>
        <w:numPr>
          <w:ilvl w:val="0"/>
          <w:numId w:val="7"/>
        </w:numPr>
      </w:pPr>
      <w:r w:rsidRPr="00E2718F">
        <w:t>Paper Bag skits (more time is required for this closure)</w:t>
      </w:r>
    </w:p>
    <w:p w:rsidR="00E2718F" w:rsidRPr="00E2718F" w:rsidRDefault="00E2718F" w:rsidP="00E2718F">
      <w:pPr>
        <w:pStyle w:val="NoSpacing"/>
        <w:numPr>
          <w:ilvl w:val="0"/>
          <w:numId w:val="7"/>
        </w:numPr>
      </w:pPr>
      <w:r w:rsidRPr="00E2718F">
        <w:t>Throw down a challenge</w:t>
      </w:r>
    </w:p>
    <w:p w:rsidR="00E2718F" w:rsidRPr="00E2718F" w:rsidRDefault="00E2718F" w:rsidP="00E2718F">
      <w:pPr>
        <w:pStyle w:val="NoSpacing"/>
        <w:numPr>
          <w:ilvl w:val="0"/>
          <w:numId w:val="7"/>
        </w:numPr>
      </w:pPr>
      <w:r w:rsidRPr="00E2718F">
        <w:t>Prizes and take-aways</w:t>
      </w:r>
    </w:p>
    <w:p w:rsidR="00E2718F" w:rsidRPr="00E2718F" w:rsidRDefault="00E2718F" w:rsidP="00E2718F">
      <w:pPr>
        <w:pStyle w:val="NoSpacing"/>
        <w:numPr>
          <w:ilvl w:val="0"/>
          <w:numId w:val="7"/>
        </w:numPr>
      </w:pPr>
      <w:r w:rsidRPr="00E2718F">
        <w:t>Connect via social media</w:t>
      </w:r>
    </w:p>
    <w:p w:rsidR="00E2718F" w:rsidRPr="00E2718F" w:rsidRDefault="004E1F5D" w:rsidP="00E2718F">
      <w:pPr>
        <w:pStyle w:val="NoSpacing"/>
        <w:numPr>
          <w:ilvl w:val="0"/>
          <w:numId w:val="7"/>
        </w:numPr>
      </w:pPr>
      <w:r w:rsidRPr="00E2718F">
        <w:t>Inspirational</w:t>
      </w:r>
      <w:r w:rsidR="00E2718F" w:rsidRPr="00E2718F">
        <w:t xml:space="preserve"> story, quote, image, etc. to </w:t>
      </w:r>
      <w:r w:rsidRPr="00E2718F">
        <w:t>reinforce</w:t>
      </w:r>
      <w:r>
        <w:t xml:space="preserve"> main</w:t>
      </w:r>
      <w:r w:rsidR="00E2718F" w:rsidRPr="00E2718F">
        <w:t xml:space="preserve"> idea</w:t>
      </w:r>
    </w:p>
    <w:p w:rsidR="00E2718F" w:rsidRPr="00E2718F" w:rsidRDefault="00E2718F" w:rsidP="00E2718F">
      <w:pPr>
        <w:pStyle w:val="NoSpacing"/>
      </w:pPr>
    </w:p>
    <w:p w:rsidR="00E2718F" w:rsidRPr="00E2718F" w:rsidRDefault="00E2718F" w:rsidP="00E2718F">
      <w:pPr>
        <w:pStyle w:val="NoSpacing"/>
      </w:pPr>
    </w:p>
    <w:sectPr w:rsidR="00E2718F" w:rsidRPr="00E271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8F" w:rsidRDefault="00E2718F" w:rsidP="00E2718F">
      <w:pPr>
        <w:spacing w:after="0" w:line="240" w:lineRule="auto"/>
      </w:pPr>
      <w:r>
        <w:separator/>
      </w:r>
    </w:p>
  </w:endnote>
  <w:endnote w:type="continuationSeparator" w:id="0">
    <w:p w:rsidR="00E2718F" w:rsidRDefault="00E2718F" w:rsidP="00E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8F" w:rsidRDefault="00E2718F" w:rsidP="00E2718F">
      <w:pPr>
        <w:spacing w:after="0" w:line="240" w:lineRule="auto"/>
      </w:pPr>
      <w:r>
        <w:separator/>
      </w:r>
    </w:p>
  </w:footnote>
  <w:footnote w:type="continuationSeparator" w:id="0">
    <w:p w:rsidR="00E2718F" w:rsidRDefault="00E2718F" w:rsidP="00E2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8F" w:rsidRPr="004E1F5D" w:rsidRDefault="004E1F5D">
    <w:pPr>
      <w:pStyle w:val="Header"/>
      <w:rPr>
        <w:b/>
        <w:color w:val="538135" w:themeColor="accent6" w:themeShade="BF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E7085" wp14:editId="6A6F4C8B">
          <wp:simplePos x="0" y="0"/>
          <wp:positionH relativeFrom="margin">
            <wp:posOffset>5048250</wp:posOffset>
          </wp:positionH>
          <wp:positionV relativeFrom="paragraph">
            <wp:posOffset>-219075</wp:posOffset>
          </wp:positionV>
          <wp:extent cx="791210" cy="904875"/>
          <wp:effectExtent l="0" t="0" r="889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- no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8F" w:rsidRPr="004E1F5D">
      <w:rPr>
        <w:b/>
        <w:color w:val="538135" w:themeColor="accent6" w:themeShade="BF"/>
        <w:sz w:val="40"/>
        <w:szCs w:val="40"/>
      </w:rPr>
      <w:t>Awesome Openings and Outstanding Endings</w:t>
    </w:r>
  </w:p>
  <w:p w:rsidR="004E1F5D" w:rsidRPr="004E1F5D" w:rsidRDefault="004E1F5D">
    <w:pPr>
      <w:pStyle w:val="Header"/>
      <w:rPr>
        <w:sz w:val="24"/>
        <w:szCs w:val="24"/>
      </w:rPr>
    </w:pPr>
    <w:r w:rsidRPr="004E1F5D">
      <w:rPr>
        <w:sz w:val="24"/>
        <w:szCs w:val="24"/>
      </w:rPr>
      <w:t xml:space="preserve">Sue Knott, </w:t>
    </w:r>
    <w:hyperlink r:id="rId2" w:history="1">
      <w:r w:rsidRPr="004E1F5D">
        <w:rPr>
          <w:rStyle w:val="Hyperlink"/>
          <w:sz w:val="24"/>
          <w:szCs w:val="24"/>
        </w:rPr>
        <w:t>sue.knott@state.mn.us</w:t>
      </w:r>
    </w:hyperlink>
  </w:p>
  <w:p w:rsidR="004E1F5D" w:rsidRPr="004E1F5D" w:rsidRDefault="004E1F5D">
    <w:pPr>
      <w:pStyle w:val="Header"/>
      <w:rPr>
        <w:sz w:val="24"/>
        <w:szCs w:val="24"/>
      </w:rPr>
    </w:pPr>
    <w:r w:rsidRPr="004E1F5D">
      <w:rPr>
        <w:sz w:val="24"/>
        <w:szCs w:val="24"/>
      </w:rPr>
      <w:t xml:space="preserve">Minnesota Agriculture in the Classroom </w:t>
    </w:r>
  </w:p>
  <w:p w:rsidR="00E2718F" w:rsidRDefault="004E1F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321C1" wp14:editId="0D92F289">
              <wp:simplePos x="0" y="0"/>
              <wp:positionH relativeFrom="margin">
                <wp:posOffset>0</wp:posOffset>
              </wp:positionH>
              <wp:positionV relativeFrom="paragraph">
                <wp:posOffset>70485</wp:posOffset>
              </wp:positionV>
              <wp:extent cx="5962650" cy="0"/>
              <wp:effectExtent l="57150" t="38100" r="38100" b="1143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BAFE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55pt" to="469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" strokecolor="#ed7d31 [3205]" strokeweight="2.2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E9E"/>
    <w:multiLevelType w:val="hybridMultilevel"/>
    <w:tmpl w:val="5762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721"/>
    <w:multiLevelType w:val="hybridMultilevel"/>
    <w:tmpl w:val="C8F4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159"/>
    <w:multiLevelType w:val="multilevel"/>
    <w:tmpl w:val="626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B5959"/>
    <w:multiLevelType w:val="multilevel"/>
    <w:tmpl w:val="D3C0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24C94"/>
    <w:multiLevelType w:val="hybridMultilevel"/>
    <w:tmpl w:val="252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C2935"/>
    <w:multiLevelType w:val="hybridMultilevel"/>
    <w:tmpl w:val="186C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275F"/>
    <w:multiLevelType w:val="hybridMultilevel"/>
    <w:tmpl w:val="1DF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F"/>
    <w:rsid w:val="000342F2"/>
    <w:rsid w:val="000F2698"/>
    <w:rsid w:val="004E1F5D"/>
    <w:rsid w:val="0090502F"/>
    <w:rsid w:val="00E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6CB98D-0115-45AB-81B5-6D2150D9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1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8F"/>
  </w:style>
  <w:style w:type="paragraph" w:styleId="Footer">
    <w:name w:val="footer"/>
    <w:basedOn w:val="Normal"/>
    <w:link w:val="FooterChar"/>
    <w:uiPriority w:val="99"/>
    <w:unhideWhenUsed/>
    <w:rsid w:val="00E2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0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22-powerful-closure-activities-todd-fin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onlinepd.wordpress.com/p-3-lesson-planning/creating-a-strong-h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e.knott@state.mn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 | MN Board of Animal Health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Knott</dc:creator>
  <cp:keywords/>
  <dc:description/>
  <cp:lastModifiedBy>Sue Knott</cp:lastModifiedBy>
  <cp:revision>1</cp:revision>
  <dcterms:created xsi:type="dcterms:W3CDTF">2016-06-01T15:20:00Z</dcterms:created>
  <dcterms:modified xsi:type="dcterms:W3CDTF">2016-06-01T15:45:00Z</dcterms:modified>
</cp:coreProperties>
</file>